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7A7F2" w14:textId="77777777" w:rsidR="002C63AC" w:rsidRDefault="002C63AC" w:rsidP="00AF5D89">
      <w:pPr>
        <w:rPr>
          <w:rFonts w:eastAsiaTheme="minorEastAsia"/>
          <w:b/>
        </w:rPr>
      </w:pPr>
      <w:r>
        <w:rPr>
          <w:rFonts w:eastAsiaTheme="minorEastAsia"/>
          <w:b/>
          <w:noProof/>
        </w:rPr>
        <w:drawing>
          <wp:inline distT="0" distB="0" distL="0" distR="0" wp14:anchorId="194AE6BE" wp14:editId="76EC2B45">
            <wp:extent cx="5943600" cy="914400"/>
            <wp:effectExtent l="0" t="0" r="0" b="0"/>
            <wp:docPr id="186703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3946"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943600" cy="914400"/>
                    </a:xfrm>
                    <a:prstGeom prst="rect">
                      <a:avLst/>
                    </a:prstGeom>
                  </pic:spPr>
                </pic:pic>
              </a:graphicData>
            </a:graphic>
          </wp:inline>
        </w:drawing>
      </w:r>
    </w:p>
    <w:p w14:paraId="3039FF86" w14:textId="33B6B59D" w:rsidR="00AF5D89" w:rsidRPr="00360A4D" w:rsidRDefault="00AF5D89" w:rsidP="00AF5D89">
      <w:pPr>
        <w:rPr>
          <w:rFonts w:eastAsiaTheme="minorEastAsia"/>
          <w:b/>
        </w:rPr>
      </w:pPr>
      <w:commentRangeStart w:id="0"/>
      <w:r w:rsidRPr="043A0AC6">
        <w:rPr>
          <w:rFonts w:eastAsiaTheme="minorEastAsia"/>
          <w:b/>
        </w:rPr>
        <w:t>EMBARGOED UNTIL 8</w:t>
      </w:r>
      <w:r w:rsidR="087238D2" w:rsidRPr="043A0AC6">
        <w:rPr>
          <w:rFonts w:eastAsiaTheme="minorEastAsia"/>
          <w:b/>
        </w:rPr>
        <w:t xml:space="preserve">:15 </w:t>
      </w:r>
      <w:r w:rsidRPr="043A0AC6">
        <w:rPr>
          <w:rFonts w:eastAsiaTheme="minorEastAsia"/>
          <w:b/>
        </w:rPr>
        <w:t>AM EDT WEDNESDAY, APRIL 29, 2026</w:t>
      </w:r>
      <w:commentRangeEnd w:id="0"/>
      <w:r w:rsidR="001846C6" w:rsidRPr="00360A4D" w:rsidDel="00BE35E1">
        <w:rPr>
          <w:rStyle w:val="CommentReference"/>
          <w:rFonts w:eastAsiaTheme="minorEastAsia"/>
          <w:b/>
          <w:sz w:val="24"/>
          <w:szCs w:val="24"/>
        </w:rPr>
        <w:commentReference w:id="0"/>
      </w:r>
    </w:p>
    <w:p w14:paraId="13EBA171" w14:textId="39B40ACA" w:rsidR="1C7C1755" w:rsidRPr="00147CA0" w:rsidRDefault="1C7C1755" w:rsidP="568FF5C8">
      <w:pPr>
        <w:pStyle w:val="Heading3"/>
        <w:spacing w:before="281" w:after="281"/>
        <w:rPr>
          <w:rFonts w:ascii="Aptos" w:eastAsia="Aptos" w:hAnsi="Aptos" w:cs="Aptos"/>
          <w:b/>
          <w:bCs/>
          <w:color w:val="000000" w:themeColor="text1"/>
        </w:rPr>
      </w:pPr>
      <w:r w:rsidRPr="00147CA0">
        <w:rPr>
          <w:rFonts w:ascii="Aptos" w:eastAsia="Aptos" w:hAnsi="Aptos" w:cs="Aptos"/>
          <w:b/>
          <w:bCs/>
          <w:color w:val="000000" w:themeColor="text1"/>
        </w:rPr>
        <w:t>[</w:t>
      </w:r>
      <w:r w:rsidRPr="00147CA0">
        <w:rPr>
          <w:rFonts w:ascii="Aptos" w:eastAsia="Aptos" w:hAnsi="Aptos" w:cs="Aptos"/>
          <w:b/>
          <w:bCs/>
          <w:color w:val="000000" w:themeColor="text1"/>
          <w:highlight w:val="yellow"/>
        </w:rPr>
        <w:t>INSTITUTION NAME</w:t>
      </w:r>
      <w:r w:rsidRPr="00147CA0">
        <w:rPr>
          <w:rFonts w:ascii="Aptos" w:eastAsia="Aptos" w:hAnsi="Aptos" w:cs="Aptos"/>
          <w:b/>
          <w:bCs/>
          <w:color w:val="000000" w:themeColor="text1"/>
        </w:rPr>
        <w:t>] Recognized in Inaugural Cure Innovation Index for Leadership in Translating Science into Real-World Health Impact</w:t>
      </w:r>
    </w:p>
    <w:p w14:paraId="4ACA7FB0" w14:textId="5EDF46A4" w:rsidR="1C7C1755" w:rsidRPr="00147CA0" w:rsidRDefault="1C7C1755" w:rsidP="568FF5C8">
      <w:pPr>
        <w:spacing w:before="240" w:after="240"/>
        <w:rPr>
          <w:rFonts w:ascii="Aptos" w:eastAsia="Aptos" w:hAnsi="Aptos" w:cs="Aptos"/>
          <w:b/>
          <w:bCs/>
          <w:color w:val="000000" w:themeColor="text1"/>
        </w:rPr>
      </w:pPr>
      <w:r w:rsidRPr="00147CA0">
        <w:rPr>
          <w:rFonts w:ascii="Aptos" w:eastAsia="Aptos" w:hAnsi="Aptos" w:cs="Aptos"/>
          <w:b/>
          <w:bCs/>
          <w:color w:val="000000" w:themeColor="text1"/>
        </w:rPr>
        <w:t>[</w:t>
      </w:r>
      <w:r w:rsidRPr="00147CA0">
        <w:rPr>
          <w:rFonts w:ascii="Aptos" w:eastAsia="Aptos" w:hAnsi="Aptos" w:cs="Aptos"/>
          <w:b/>
          <w:bCs/>
          <w:color w:val="000000" w:themeColor="text1"/>
          <w:highlight w:val="yellow"/>
        </w:rPr>
        <w:t>INSTITUTION NAME</w:t>
      </w:r>
      <w:r w:rsidRPr="00147CA0">
        <w:rPr>
          <w:rFonts w:ascii="Aptos" w:eastAsia="Aptos" w:hAnsi="Aptos" w:cs="Aptos"/>
          <w:b/>
          <w:bCs/>
          <w:color w:val="000000" w:themeColor="text1"/>
        </w:rPr>
        <w:t>] ranks [</w:t>
      </w:r>
      <w:r w:rsidRPr="00147CA0">
        <w:rPr>
          <w:rFonts w:ascii="Aptos" w:eastAsia="Aptos" w:hAnsi="Aptos" w:cs="Aptos"/>
          <w:b/>
          <w:bCs/>
          <w:color w:val="000000" w:themeColor="text1"/>
          <w:highlight w:val="yellow"/>
        </w:rPr>
        <w:t>#</w:t>
      </w:r>
      <w:r w:rsidRPr="00147CA0">
        <w:rPr>
          <w:rFonts w:ascii="Aptos" w:eastAsia="Aptos" w:hAnsi="Aptos" w:cs="Aptos"/>
          <w:b/>
          <w:bCs/>
          <w:color w:val="000000" w:themeColor="text1"/>
        </w:rPr>
        <w:t>] among [</w:t>
      </w:r>
      <w:r w:rsidRPr="00147CA0">
        <w:rPr>
          <w:rFonts w:ascii="Aptos" w:eastAsia="Aptos" w:hAnsi="Aptos" w:cs="Aptos"/>
          <w:b/>
          <w:bCs/>
          <w:color w:val="000000" w:themeColor="text1"/>
          <w:highlight w:val="yellow"/>
        </w:rPr>
        <w:t>243 universities / 60 institutes and centers</w:t>
      </w:r>
      <w:r w:rsidRPr="00147CA0">
        <w:rPr>
          <w:rFonts w:ascii="Aptos" w:eastAsia="Aptos" w:hAnsi="Aptos" w:cs="Aptos"/>
          <w:b/>
          <w:bCs/>
          <w:color w:val="000000" w:themeColor="text1"/>
        </w:rPr>
        <w:t>] nationally and earns designation as a [</w:t>
      </w:r>
      <w:r w:rsidRPr="00147CA0">
        <w:rPr>
          <w:rFonts w:ascii="Aptos" w:eastAsia="Aptos" w:hAnsi="Aptos" w:cs="Aptos"/>
          <w:b/>
          <w:bCs/>
          <w:color w:val="000000" w:themeColor="text1"/>
          <w:highlight w:val="yellow"/>
        </w:rPr>
        <w:t>special recognition</w:t>
      </w:r>
      <w:r w:rsidRPr="00147CA0">
        <w:rPr>
          <w:rFonts w:ascii="Aptos" w:eastAsia="Aptos" w:hAnsi="Aptos" w:cs="Aptos"/>
          <w:b/>
          <w:bCs/>
          <w:color w:val="000000" w:themeColor="text1"/>
        </w:rPr>
        <w:t>] institution</w:t>
      </w:r>
    </w:p>
    <w:p w14:paraId="2A5B970D" w14:textId="144D0785" w:rsidR="1C7C1755" w:rsidRDefault="1C7C1755" w:rsidP="568FF5C8">
      <w:pPr>
        <w:spacing w:before="240" w:after="240"/>
      </w:pPr>
      <w:r w:rsidRPr="568FF5C8">
        <w:rPr>
          <w:rFonts w:ascii="Aptos" w:eastAsia="Aptos" w:hAnsi="Aptos" w:cs="Aptos"/>
          <w:b/>
          <w:bCs/>
        </w:rPr>
        <w:t>&lt;</w:t>
      </w:r>
      <w:r w:rsidRPr="00A35960">
        <w:rPr>
          <w:rFonts w:ascii="Aptos" w:eastAsia="Aptos" w:hAnsi="Aptos" w:cs="Aptos"/>
          <w:b/>
          <w:bCs/>
          <w:highlight w:val="yellow"/>
        </w:rPr>
        <w:t>CITY, STATE</w:t>
      </w:r>
      <w:r w:rsidRPr="568FF5C8">
        <w:rPr>
          <w:rFonts w:ascii="Aptos" w:eastAsia="Aptos" w:hAnsi="Aptos" w:cs="Aptos"/>
          <w:b/>
          <w:bCs/>
        </w:rPr>
        <w:t>&gt;, April 29, 2026</w:t>
      </w:r>
      <w:r w:rsidRPr="568FF5C8">
        <w:rPr>
          <w:rFonts w:ascii="Aptos" w:eastAsia="Aptos" w:hAnsi="Aptos" w:cs="Aptos"/>
        </w:rPr>
        <w:t xml:space="preserve"> — </w:t>
      </w:r>
      <w:r w:rsidRPr="032E1154">
        <w:rPr>
          <w:rFonts w:ascii="Aptos" w:eastAsia="Aptos" w:hAnsi="Aptos" w:cs="Aptos"/>
          <w:b/>
        </w:rPr>
        <w:t>[</w:t>
      </w:r>
      <w:r w:rsidRPr="032E1154">
        <w:rPr>
          <w:rFonts w:ascii="Aptos" w:eastAsia="Aptos" w:hAnsi="Aptos" w:cs="Aptos"/>
          <w:b/>
          <w:highlight w:val="yellow"/>
        </w:rPr>
        <w:t>INSTITUTION NAME</w:t>
      </w:r>
      <w:r w:rsidRPr="032E1154">
        <w:rPr>
          <w:rFonts w:ascii="Aptos" w:eastAsia="Aptos" w:hAnsi="Aptos" w:cs="Aptos"/>
          <w:b/>
        </w:rPr>
        <w:t xml:space="preserve">] </w:t>
      </w:r>
      <w:r w:rsidRPr="568FF5C8">
        <w:rPr>
          <w:rFonts w:ascii="Aptos" w:eastAsia="Aptos" w:hAnsi="Aptos" w:cs="Aptos"/>
        </w:rPr>
        <w:t xml:space="preserve">today announced its ranking in the inaugural Cure Innovation Index, placing </w:t>
      </w:r>
      <w:r w:rsidRPr="568FF5C8">
        <w:rPr>
          <w:rFonts w:ascii="Aptos" w:eastAsia="Aptos" w:hAnsi="Aptos" w:cs="Aptos"/>
          <w:b/>
          <w:bCs/>
        </w:rPr>
        <w:t>[</w:t>
      </w:r>
      <w:r w:rsidRPr="00A35960">
        <w:rPr>
          <w:rFonts w:ascii="Aptos" w:eastAsia="Aptos" w:hAnsi="Aptos" w:cs="Aptos"/>
          <w:b/>
          <w:bCs/>
          <w:highlight w:val="yellow"/>
        </w:rPr>
        <w:t>#</w:t>
      </w:r>
      <w:r w:rsidRPr="568FF5C8">
        <w:rPr>
          <w:rFonts w:ascii="Aptos" w:eastAsia="Aptos" w:hAnsi="Aptos" w:cs="Aptos"/>
          <w:b/>
          <w:bCs/>
        </w:rPr>
        <w:t>] among the top [</w:t>
      </w:r>
      <w:r w:rsidRPr="00A35960">
        <w:rPr>
          <w:rFonts w:ascii="Aptos" w:eastAsia="Aptos" w:hAnsi="Aptos" w:cs="Aptos"/>
          <w:b/>
          <w:bCs/>
          <w:highlight w:val="yellow"/>
        </w:rPr>
        <w:t>243 universities / 60 institutes and centers</w:t>
      </w:r>
      <w:r w:rsidRPr="568FF5C8">
        <w:rPr>
          <w:rFonts w:ascii="Aptos" w:eastAsia="Aptos" w:hAnsi="Aptos" w:cs="Aptos"/>
          <w:b/>
          <w:bCs/>
        </w:rPr>
        <w:t>] in the United States</w:t>
      </w:r>
      <w:r w:rsidRPr="568FF5C8">
        <w:rPr>
          <w:rFonts w:ascii="Aptos" w:eastAsia="Aptos" w:hAnsi="Aptos" w:cs="Aptos"/>
        </w:rPr>
        <w:t xml:space="preserve"> for its ability to translate scientific discovery into real-world healthcare impact. The Index also recognizes </w:t>
      </w:r>
      <w:r w:rsidRPr="000040A0">
        <w:rPr>
          <w:rFonts w:ascii="Aptos" w:eastAsia="Aptos" w:hAnsi="Aptos" w:cs="Aptos"/>
          <w:b/>
          <w:bCs/>
        </w:rPr>
        <w:t>[</w:t>
      </w:r>
      <w:r w:rsidRPr="000040A0">
        <w:rPr>
          <w:rFonts w:ascii="Aptos" w:eastAsia="Aptos" w:hAnsi="Aptos" w:cs="Aptos"/>
          <w:b/>
          <w:bCs/>
          <w:highlight w:val="yellow"/>
        </w:rPr>
        <w:t>INSTITUTION NAME</w:t>
      </w:r>
      <w:r w:rsidRPr="000040A0">
        <w:rPr>
          <w:rFonts w:ascii="Aptos" w:eastAsia="Aptos" w:hAnsi="Aptos" w:cs="Aptos"/>
          <w:b/>
          <w:bCs/>
        </w:rPr>
        <w:t>]</w:t>
      </w:r>
      <w:r w:rsidRPr="568FF5C8">
        <w:rPr>
          <w:rFonts w:ascii="Aptos" w:eastAsia="Aptos" w:hAnsi="Aptos" w:cs="Aptos"/>
        </w:rPr>
        <w:t xml:space="preserve"> as a </w:t>
      </w:r>
      <w:r w:rsidRPr="568FF5C8">
        <w:rPr>
          <w:rFonts w:ascii="Aptos" w:eastAsia="Aptos" w:hAnsi="Aptos" w:cs="Aptos"/>
          <w:b/>
          <w:bCs/>
        </w:rPr>
        <w:t>[</w:t>
      </w:r>
      <w:r w:rsidRPr="00A35960">
        <w:rPr>
          <w:rFonts w:ascii="Aptos" w:eastAsia="Aptos" w:hAnsi="Aptos" w:cs="Aptos"/>
          <w:b/>
          <w:bCs/>
          <w:highlight w:val="yellow"/>
        </w:rPr>
        <w:t>special recognition</w:t>
      </w:r>
      <w:r w:rsidRPr="568FF5C8">
        <w:rPr>
          <w:rFonts w:ascii="Aptos" w:eastAsia="Aptos" w:hAnsi="Aptos" w:cs="Aptos"/>
          <w:b/>
          <w:bCs/>
        </w:rPr>
        <w:t>]</w:t>
      </w:r>
      <w:r w:rsidRPr="568FF5C8">
        <w:rPr>
          <w:rFonts w:ascii="Aptos" w:eastAsia="Aptos" w:hAnsi="Aptos" w:cs="Aptos"/>
        </w:rPr>
        <w:t xml:space="preserve"> institution and ranks it </w:t>
      </w:r>
      <w:r w:rsidRPr="568FF5C8">
        <w:rPr>
          <w:rFonts w:ascii="Aptos" w:eastAsia="Aptos" w:hAnsi="Aptos" w:cs="Aptos"/>
          <w:b/>
          <w:bCs/>
        </w:rPr>
        <w:t>[</w:t>
      </w:r>
      <w:r w:rsidRPr="00A35960">
        <w:rPr>
          <w:rFonts w:ascii="Aptos" w:eastAsia="Aptos" w:hAnsi="Aptos" w:cs="Aptos"/>
          <w:b/>
          <w:bCs/>
          <w:highlight w:val="yellow"/>
        </w:rPr>
        <w:t>#</w:t>
      </w:r>
      <w:r w:rsidRPr="568FF5C8">
        <w:rPr>
          <w:rFonts w:ascii="Aptos" w:eastAsia="Aptos" w:hAnsi="Aptos" w:cs="Aptos"/>
          <w:b/>
          <w:bCs/>
        </w:rPr>
        <w:t>] in [</w:t>
      </w:r>
      <w:r w:rsidRPr="00A35960">
        <w:rPr>
          <w:rFonts w:ascii="Aptos" w:eastAsia="Aptos" w:hAnsi="Aptos" w:cs="Aptos"/>
          <w:b/>
          <w:bCs/>
          <w:highlight w:val="yellow"/>
        </w:rPr>
        <w:t>region/state</w:t>
      </w:r>
      <w:r w:rsidRPr="568FF5C8">
        <w:rPr>
          <w:rFonts w:ascii="Aptos" w:eastAsia="Aptos" w:hAnsi="Aptos" w:cs="Aptos"/>
          <w:b/>
          <w:bCs/>
        </w:rPr>
        <w:t>]</w:t>
      </w:r>
      <w:r w:rsidRPr="568FF5C8">
        <w:rPr>
          <w:rFonts w:ascii="Aptos" w:eastAsia="Aptos" w:hAnsi="Aptos" w:cs="Aptos"/>
        </w:rPr>
        <w:t>.</w:t>
      </w:r>
    </w:p>
    <w:p w14:paraId="6CF0D4DE" w14:textId="344E87DB" w:rsidR="1C7C1755" w:rsidRDefault="1C7C1755" w:rsidP="568FF5C8">
      <w:pPr>
        <w:spacing w:before="240" w:after="240"/>
      </w:pPr>
      <w:r w:rsidRPr="568FF5C8">
        <w:rPr>
          <w:rFonts w:ascii="Aptos" w:eastAsia="Aptos" w:hAnsi="Aptos" w:cs="Aptos"/>
        </w:rPr>
        <w:t xml:space="preserve">The Cure Innovation Index is the first national, data-driven platform designed to assess how effectively U.S. biomedical research institutions convert discovery into therapies, companies, and measurable health outcomes. The inaugural 2026 Index evaluates </w:t>
      </w:r>
      <w:r w:rsidRPr="568FF5C8">
        <w:rPr>
          <w:rFonts w:ascii="Aptos" w:eastAsia="Aptos" w:hAnsi="Aptos" w:cs="Aptos"/>
          <w:b/>
          <w:bCs/>
        </w:rPr>
        <w:t>303 leading institutions</w:t>
      </w:r>
      <w:r w:rsidRPr="568FF5C8">
        <w:rPr>
          <w:rFonts w:ascii="Aptos" w:eastAsia="Aptos" w:hAnsi="Aptos" w:cs="Aptos"/>
        </w:rPr>
        <w:t>—spanning all 50 states, the District of Columbia, and Puerto Rico—selected from more than 6,000 nationwide.</w:t>
      </w:r>
    </w:p>
    <w:p w14:paraId="5C9E5B78" w14:textId="5075DE13" w:rsidR="1C7C1755" w:rsidRDefault="1C7C1755" w:rsidP="568FF5C8">
      <w:pPr>
        <w:spacing w:before="240" w:after="240"/>
      </w:pPr>
      <w:r w:rsidRPr="568FF5C8">
        <w:rPr>
          <w:rFonts w:ascii="Aptos" w:eastAsia="Aptos" w:hAnsi="Aptos" w:cs="Aptos"/>
        </w:rPr>
        <w:t>[</w:t>
      </w:r>
      <w:r w:rsidRPr="00A35960">
        <w:rPr>
          <w:rFonts w:ascii="Aptos" w:eastAsia="Aptos" w:hAnsi="Aptos" w:cs="Aptos"/>
          <w:b/>
          <w:bCs/>
          <w:highlight w:val="yellow"/>
        </w:rPr>
        <w:t>INSERT SPOKESPERSON QUOTE</w:t>
      </w:r>
      <w:r w:rsidRPr="568FF5C8">
        <w:rPr>
          <w:rFonts w:ascii="Aptos" w:eastAsia="Aptos" w:hAnsi="Aptos" w:cs="Aptos"/>
        </w:rPr>
        <w:t>]</w:t>
      </w:r>
    </w:p>
    <w:p w14:paraId="7E930944" w14:textId="007E8615" w:rsidR="1C7C1755" w:rsidRDefault="1C7C1755" w:rsidP="568FF5C8">
      <w:pPr>
        <w:spacing w:before="240" w:after="240"/>
      </w:pPr>
      <w:r w:rsidRPr="568FF5C8">
        <w:rPr>
          <w:rFonts w:ascii="Aptos" w:eastAsia="Aptos" w:hAnsi="Aptos" w:cs="Aptos"/>
        </w:rPr>
        <w:t xml:space="preserve">“Recognition of </w:t>
      </w:r>
      <w:r w:rsidRPr="00A35960">
        <w:rPr>
          <w:rFonts w:ascii="Aptos" w:eastAsia="Aptos" w:hAnsi="Aptos" w:cs="Aptos"/>
          <w:b/>
          <w:bCs/>
        </w:rPr>
        <w:t>[</w:t>
      </w:r>
      <w:r w:rsidRPr="00A35960">
        <w:rPr>
          <w:rFonts w:ascii="Aptos" w:eastAsia="Aptos" w:hAnsi="Aptos" w:cs="Aptos"/>
          <w:b/>
          <w:bCs/>
          <w:highlight w:val="yellow"/>
        </w:rPr>
        <w:t>INSTITUTION NAME</w:t>
      </w:r>
      <w:r w:rsidRPr="00A35960">
        <w:rPr>
          <w:rFonts w:ascii="Aptos" w:eastAsia="Aptos" w:hAnsi="Aptos" w:cs="Aptos"/>
          <w:b/>
          <w:bCs/>
        </w:rPr>
        <w:t>]</w:t>
      </w:r>
      <w:r w:rsidRPr="568FF5C8">
        <w:rPr>
          <w:rFonts w:ascii="Aptos" w:eastAsia="Aptos" w:hAnsi="Aptos" w:cs="Aptos"/>
        </w:rPr>
        <w:t xml:space="preserve"> in the Cure Innovation Index reflects its leadership in translating scientific discovery into real-world impact,” said Seema Kumar, CEO of Cure. “While traditional measures emphasize funding, publications, or patents, the Index sets a new standard by evaluating the full set of capabilities required to move innovation from concept to cure.”</w:t>
      </w:r>
    </w:p>
    <w:p w14:paraId="72CEA439" w14:textId="36445953" w:rsidR="1C7C1755" w:rsidRDefault="1C7C1755" w:rsidP="568FF5C8">
      <w:pPr>
        <w:spacing w:before="240" w:after="240"/>
      </w:pPr>
      <w:r w:rsidRPr="568FF5C8">
        <w:rPr>
          <w:rFonts w:ascii="Aptos" w:eastAsia="Aptos" w:hAnsi="Aptos" w:cs="Aptos"/>
        </w:rPr>
        <w:t>The U.S. biomedical research ecosystem—anchored by academic institutions—has long been a global engine of innovation, driving the development of life-saving therapies and generating significant economic impact. Yet institutional performance has historically been measured by inputs and outputs, rather than by the ability to consistently translate discovery into impact.</w:t>
      </w:r>
    </w:p>
    <w:p w14:paraId="2A5503BE" w14:textId="43DBD513" w:rsidR="1C7C1755" w:rsidRDefault="1C7C1755" w:rsidP="568FF5C8">
      <w:pPr>
        <w:pStyle w:val="Heading3"/>
        <w:spacing w:before="281" w:after="281"/>
      </w:pPr>
      <w:r w:rsidRPr="568FF5C8">
        <w:rPr>
          <w:rFonts w:ascii="Aptos" w:eastAsia="Aptos" w:hAnsi="Aptos" w:cs="Aptos"/>
          <w:b/>
          <w:bCs/>
        </w:rPr>
        <w:t>Driving Translational Performance</w:t>
      </w:r>
    </w:p>
    <w:p w14:paraId="110BD8EA" w14:textId="03AC3FBB" w:rsidR="1C7C1755" w:rsidRDefault="1C7C1755" w:rsidP="568FF5C8">
      <w:pPr>
        <w:spacing w:before="240" w:after="240"/>
      </w:pPr>
      <w:r w:rsidRPr="568FF5C8">
        <w:rPr>
          <w:rFonts w:ascii="Aptos" w:eastAsia="Aptos" w:hAnsi="Aptos" w:cs="Aptos"/>
        </w:rPr>
        <w:t xml:space="preserve">The Index evaluates institutions across </w:t>
      </w:r>
      <w:r w:rsidRPr="568FF5C8">
        <w:rPr>
          <w:rFonts w:ascii="Aptos" w:eastAsia="Aptos" w:hAnsi="Aptos" w:cs="Aptos"/>
          <w:b/>
          <w:bCs/>
        </w:rPr>
        <w:t>25 indicators within three core domains</w:t>
      </w:r>
      <w:r w:rsidRPr="568FF5C8">
        <w:rPr>
          <w:rFonts w:ascii="Aptos" w:eastAsia="Aptos" w:hAnsi="Aptos" w:cs="Aptos"/>
        </w:rPr>
        <w:t xml:space="preserve">: </w:t>
      </w:r>
      <w:r w:rsidR="6D4B0FC6" w:rsidRPr="4ABA2CA1">
        <w:rPr>
          <w:rFonts w:ascii="Aptos" w:eastAsia="Aptos" w:hAnsi="Aptos" w:cs="Aptos"/>
        </w:rPr>
        <w:t xml:space="preserve">Research Capabilities, </w:t>
      </w:r>
      <w:r w:rsidRPr="568FF5C8">
        <w:rPr>
          <w:rFonts w:ascii="Aptos" w:eastAsia="Aptos" w:hAnsi="Aptos" w:cs="Aptos"/>
        </w:rPr>
        <w:t>Entrepreneurial Readiness, and Market Translation. Together, these dimensions capture the structural, cultural, and operational factors that enable institutions to move breakthroughs beyond the lab and into real-world application.</w:t>
      </w:r>
    </w:p>
    <w:p w14:paraId="2257EED9" w14:textId="7D5A0677" w:rsidR="1C7C1755" w:rsidRDefault="1C7C1755" w:rsidP="568FF5C8">
      <w:pPr>
        <w:spacing w:before="240" w:after="240"/>
      </w:pPr>
      <w:r w:rsidRPr="00A35960">
        <w:rPr>
          <w:rFonts w:ascii="Aptos" w:eastAsia="Aptos" w:hAnsi="Aptos" w:cs="Aptos"/>
          <w:b/>
          <w:bCs/>
        </w:rPr>
        <w:t>[</w:t>
      </w:r>
      <w:r w:rsidRPr="00A35960">
        <w:rPr>
          <w:rFonts w:ascii="Aptos" w:eastAsia="Aptos" w:hAnsi="Aptos" w:cs="Aptos"/>
          <w:b/>
          <w:bCs/>
          <w:highlight w:val="yellow"/>
        </w:rPr>
        <w:t>INSTITUTION NAME</w:t>
      </w:r>
      <w:r w:rsidRPr="00A35960">
        <w:rPr>
          <w:rFonts w:ascii="Aptos" w:eastAsia="Aptos" w:hAnsi="Aptos" w:cs="Aptos"/>
          <w:b/>
          <w:bCs/>
        </w:rPr>
        <w:t>]</w:t>
      </w:r>
      <w:r w:rsidRPr="568FF5C8">
        <w:rPr>
          <w:rFonts w:ascii="Aptos" w:eastAsia="Aptos" w:hAnsi="Aptos" w:cs="Aptos"/>
        </w:rPr>
        <w:t xml:space="preserve"> demonstrated strong performance across these domains, reflecting its ability to consistently advance innovations into therapies, companies, and measurable health outcomes.</w:t>
      </w:r>
    </w:p>
    <w:p w14:paraId="48B8FC95" w14:textId="5ABCCA36" w:rsidR="1C7C1755" w:rsidRDefault="1C7C1755" w:rsidP="568FF5C8">
      <w:pPr>
        <w:spacing w:before="240" w:after="240"/>
      </w:pPr>
      <w:r w:rsidRPr="568FF5C8">
        <w:rPr>
          <w:rFonts w:ascii="Aptos" w:eastAsia="Aptos" w:hAnsi="Aptos" w:cs="Aptos"/>
        </w:rPr>
        <w:t xml:space="preserve">The Index also classifies </w:t>
      </w:r>
      <w:r w:rsidRPr="00A35960">
        <w:rPr>
          <w:rFonts w:ascii="Aptos" w:eastAsia="Aptos" w:hAnsi="Aptos" w:cs="Aptos"/>
          <w:b/>
          <w:bCs/>
        </w:rPr>
        <w:t>[</w:t>
      </w:r>
      <w:r w:rsidRPr="00A35960">
        <w:rPr>
          <w:rFonts w:ascii="Aptos" w:eastAsia="Aptos" w:hAnsi="Aptos" w:cs="Aptos"/>
          <w:b/>
          <w:bCs/>
          <w:highlight w:val="yellow"/>
        </w:rPr>
        <w:t>INSTITUTION NAME</w:t>
      </w:r>
      <w:r w:rsidRPr="00A35960">
        <w:rPr>
          <w:rFonts w:ascii="Aptos" w:eastAsia="Aptos" w:hAnsi="Aptos" w:cs="Aptos"/>
          <w:b/>
          <w:bCs/>
        </w:rPr>
        <w:t>]</w:t>
      </w:r>
      <w:r w:rsidRPr="568FF5C8">
        <w:rPr>
          <w:rFonts w:ascii="Aptos" w:eastAsia="Aptos" w:hAnsi="Aptos" w:cs="Aptos"/>
        </w:rPr>
        <w:t xml:space="preserve"> within the </w:t>
      </w:r>
      <w:r w:rsidRPr="568FF5C8">
        <w:rPr>
          <w:rFonts w:ascii="Aptos" w:eastAsia="Aptos" w:hAnsi="Aptos" w:cs="Aptos"/>
          <w:b/>
          <w:bCs/>
        </w:rPr>
        <w:t>[</w:t>
      </w:r>
      <w:r w:rsidR="00A35960" w:rsidRPr="00A35960">
        <w:rPr>
          <w:rFonts w:ascii="Aptos" w:eastAsia="Aptos" w:hAnsi="Aptos" w:cs="Aptos"/>
          <w:b/>
          <w:bCs/>
          <w:highlight w:val="yellow"/>
        </w:rPr>
        <w:t>ARCHETYPE</w:t>
      </w:r>
      <w:r w:rsidRPr="568FF5C8">
        <w:rPr>
          <w:rFonts w:ascii="Aptos" w:eastAsia="Aptos" w:hAnsi="Aptos" w:cs="Aptos"/>
          <w:b/>
          <w:bCs/>
        </w:rPr>
        <w:t>]</w:t>
      </w:r>
      <w:r w:rsidRPr="568FF5C8">
        <w:rPr>
          <w:rFonts w:ascii="Aptos" w:eastAsia="Aptos" w:hAnsi="Aptos" w:cs="Aptos"/>
        </w:rPr>
        <w:t xml:space="preserve"> archetype, highlighting its distinct pathway to achieving translational success within the U.S. biomedical innovation ecosystem.</w:t>
      </w:r>
    </w:p>
    <w:p w14:paraId="4840E075" w14:textId="228C04FF" w:rsidR="1C7C1755" w:rsidRDefault="1C7C1755" w:rsidP="568FF5C8">
      <w:pPr>
        <w:spacing w:before="240" w:after="240"/>
      </w:pPr>
      <w:r w:rsidRPr="568FF5C8">
        <w:rPr>
          <w:rFonts w:ascii="Aptos" w:eastAsia="Aptos" w:hAnsi="Aptos" w:cs="Aptos"/>
        </w:rPr>
        <w:t>[</w:t>
      </w:r>
      <w:r w:rsidRPr="00A35960">
        <w:rPr>
          <w:rFonts w:ascii="Aptos" w:eastAsia="Aptos" w:hAnsi="Aptos" w:cs="Aptos"/>
          <w:b/>
          <w:bCs/>
          <w:highlight w:val="yellow"/>
        </w:rPr>
        <w:t>INSERT SECOND SPOKESPERSON QUOTE</w:t>
      </w:r>
      <w:r w:rsidRPr="568FF5C8">
        <w:rPr>
          <w:rFonts w:ascii="Aptos" w:eastAsia="Aptos" w:hAnsi="Aptos" w:cs="Aptos"/>
        </w:rPr>
        <w:t>]</w:t>
      </w:r>
    </w:p>
    <w:p w14:paraId="048800AB" w14:textId="6E3CA0EC" w:rsidR="1C7C1755" w:rsidRDefault="1C7C1755" w:rsidP="568FF5C8">
      <w:pPr>
        <w:pStyle w:val="Heading3"/>
        <w:spacing w:before="281" w:after="281"/>
      </w:pPr>
      <w:r w:rsidRPr="568FF5C8">
        <w:rPr>
          <w:rFonts w:ascii="Aptos" w:eastAsia="Aptos" w:hAnsi="Aptos" w:cs="Aptos"/>
          <w:b/>
          <w:bCs/>
        </w:rPr>
        <w:t>About the Cure Innovation Index</w:t>
      </w:r>
    </w:p>
    <w:p w14:paraId="0A3E147C" w14:textId="3CED3A24" w:rsidR="1C7C1755" w:rsidRDefault="1C7C1755" w:rsidP="568FF5C8">
      <w:pPr>
        <w:spacing w:before="240" w:after="240"/>
      </w:pPr>
      <w:r w:rsidRPr="568FF5C8">
        <w:rPr>
          <w:rFonts w:ascii="Aptos" w:eastAsia="Aptos" w:hAnsi="Aptos" w:cs="Aptos"/>
        </w:rPr>
        <w:t>Led by Cure, the Index was developed in collaboration with a multidisciplinary group of experts across academia, industry, and government, with analytical support from Deerfield Intelligence, a division of Deerfield Management Company.</w:t>
      </w:r>
    </w:p>
    <w:p w14:paraId="22D11FB2" w14:textId="79B73F89" w:rsidR="1C7C1755" w:rsidRDefault="1C7C1755" w:rsidP="568FF5C8">
      <w:pPr>
        <w:spacing w:before="240" w:after="240"/>
      </w:pPr>
      <w:r w:rsidRPr="568FF5C8">
        <w:rPr>
          <w:rFonts w:ascii="Aptos" w:eastAsia="Aptos" w:hAnsi="Aptos" w:cs="Aptos"/>
        </w:rPr>
        <w:t>The methodology integrates validated data from more than a dozen federal and commercial sources, complemented by proprietary inputs from surveys of more than 3,000 researchers and industry leaders, as well as institutional audits assessing infrastructure, technology transfer capabilities, and translational programs.</w:t>
      </w:r>
    </w:p>
    <w:p w14:paraId="5B69AF6F" w14:textId="37715496" w:rsidR="1C7C1755" w:rsidRDefault="1C7C1755" w:rsidP="568FF5C8">
      <w:pPr>
        <w:pStyle w:val="Heading3"/>
        <w:spacing w:before="281" w:after="281"/>
      </w:pPr>
      <w:r w:rsidRPr="568FF5C8">
        <w:rPr>
          <w:rFonts w:ascii="Aptos" w:eastAsia="Aptos" w:hAnsi="Aptos" w:cs="Aptos"/>
          <w:b/>
          <w:bCs/>
        </w:rPr>
        <w:t>About [</w:t>
      </w:r>
      <w:r w:rsidRPr="00A35960">
        <w:rPr>
          <w:rFonts w:ascii="Aptos" w:eastAsia="Aptos" w:hAnsi="Aptos" w:cs="Aptos"/>
          <w:b/>
          <w:bCs/>
          <w:highlight w:val="yellow"/>
        </w:rPr>
        <w:t>INSTITUTION NAME</w:t>
      </w:r>
      <w:r w:rsidRPr="568FF5C8">
        <w:rPr>
          <w:rFonts w:ascii="Aptos" w:eastAsia="Aptos" w:hAnsi="Aptos" w:cs="Aptos"/>
          <w:b/>
          <w:bCs/>
        </w:rPr>
        <w:t>]</w:t>
      </w:r>
    </w:p>
    <w:p w14:paraId="57EBD042" w14:textId="542C68F5" w:rsidR="1C7C1755" w:rsidRDefault="1C7C1755" w:rsidP="568FF5C8">
      <w:pPr>
        <w:spacing w:before="240" w:after="240"/>
        <w:rPr>
          <w:rFonts w:ascii="Aptos" w:eastAsia="Aptos" w:hAnsi="Aptos" w:cs="Aptos"/>
          <w:b/>
        </w:rPr>
      </w:pPr>
      <w:r w:rsidRPr="7A174944">
        <w:rPr>
          <w:rFonts w:ascii="Aptos" w:eastAsia="Aptos" w:hAnsi="Aptos" w:cs="Aptos"/>
          <w:b/>
        </w:rPr>
        <w:t>[</w:t>
      </w:r>
      <w:r w:rsidRPr="0CAE275C">
        <w:rPr>
          <w:rFonts w:ascii="Aptos" w:eastAsia="Aptos" w:hAnsi="Aptos" w:cs="Aptos"/>
          <w:b/>
          <w:bCs/>
          <w:highlight w:val="yellow"/>
        </w:rPr>
        <w:t>INSTITUTION</w:t>
      </w:r>
      <w:r w:rsidRPr="7A174944">
        <w:rPr>
          <w:rFonts w:ascii="Aptos" w:eastAsia="Aptos" w:hAnsi="Aptos" w:cs="Aptos"/>
          <w:b/>
          <w:highlight w:val="yellow"/>
        </w:rPr>
        <w:t xml:space="preserve"> BOILERPLATE</w:t>
      </w:r>
      <w:r w:rsidRPr="7A174944">
        <w:rPr>
          <w:rFonts w:ascii="Aptos" w:eastAsia="Aptos" w:hAnsi="Aptos" w:cs="Aptos"/>
          <w:b/>
        </w:rPr>
        <w:t>]</w:t>
      </w:r>
    </w:p>
    <w:p w14:paraId="203D8A99" w14:textId="3C9CF2CF" w:rsidR="1C7C1755" w:rsidRDefault="1C7C1755" w:rsidP="568FF5C8">
      <w:pPr>
        <w:pStyle w:val="Heading3"/>
        <w:spacing w:before="281" w:after="281"/>
      </w:pPr>
      <w:r w:rsidRPr="568FF5C8">
        <w:rPr>
          <w:rFonts w:ascii="Aptos" w:eastAsia="Aptos" w:hAnsi="Aptos" w:cs="Aptos"/>
          <w:b/>
          <w:bCs/>
        </w:rPr>
        <w:t>About Cure</w:t>
      </w:r>
    </w:p>
    <w:p w14:paraId="023C6471" w14:textId="77777777" w:rsidR="005F748D" w:rsidRDefault="005F748D" w:rsidP="568FF5C8">
      <w:pPr>
        <w:spacing w:before="240" w:after="240"/>
        <w:rPr>
          <w:rFonts w:ascii="Aptos" w:eastAsia="Aptos" w:hAnsi="Aptos" w:cs="Aptos"/>
        </w:rPr>
      </w:pPr>
      <w:r w:rsidRPr="005F748D">
        <w:rPr>
          <w:rFonts w:ascii="Aptos" w:eastAsia="Aptos" w:hAnsi="Aptos" w:cs="Aptos"/>
        </w:rPr>
        <w:t>Cure is the premier healthcare innovation ecosystem that provides knowledge, infrastructure and tools to accelerate progress toward cures. Headquartered in New York City, Cure convenes all key stakeholders for innovation across its physical and digital community. The campus houses flagship event venues and is home to healthcare organizations from idea stage to public companies. Cure members gain access to premium opportunities and curated connections. In 2026, The Cure Innovation Index was published, providing unmatched visibility into how research institutions translate breakthrough science into real-world health impact. Innovate with Cure at wewillcure.com.</w:t>
      </w:r>
    </w:p>
    <w:p w14:paraId="67CB261B" w14:textId="47577BFD" w:rsidR="1C7C1755" w:rsidRDefault="1C7C1755" w:rsidP="568FF5C8">
      <w:pPr>
        <w:spacing w:before="240" w:after="240"/>
      </w:pPr>
      <w:r w:rsidRPr="568FF5C8">
        <w:rPr>
          <w:rFonts w:ascii="Aptos" w:eastAsia="Aptos" w:hAnsi="Aptos" w:cs="Aptos"/>
          <w:b/>
          <w:bCs/>
        </w:rPr>
        <w:t>Media Contact:</w:t>
      </w:r>
      <w:r w:rsidRPr="568FF5C8">
        <w:rPr>
          <w:rFonts w:ascii="Aptos" w:eastAsia="Aptos" w:hAnsi="Aptos" w:cs="Aptos"/>
        </w:rPr>
        <w:t xml:space="preserve"> </w:t>
      </w:r>
      <w:hyperlink r:id="rId15">
        <w:r w:rsidRPr="568FF5C8">
          <w:rPr>
            <w:rStyle w:val="Hyperlink"/>
            <w:rFonts w:ascii="Aptos" w:eastAsia="Aptos" w:hAnsi="Aptos" w:cs="Aptos"/>
          </w:rPr>
          <w:t>info@wewillcure.com</w:t>
        </w:r>
      </w:hyperlink>
    </w:p>
    <w:p w14:paraId="3C360A85" w14:textId="6B5482CE" w:rsidR="00A9562F" w:rsidRDefault="00A9562F" w:rsidP="00AF5D89">
      <w:pPr>
        <w:rPr>
          <w:rFonts w:eastAsiaTheme="minorEastAsia"/>
          <w:b/>
        </w:rPr>
      </w:pPr>
    </w:p>
    <w:sectPr w:rsidR="00A9562F" w:rsidSect="00874C40">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thony Giordano" w:date="2026-04-19T17:51:00Z" w:initials="AG">
    <w:p w14:paraId="21EB77D0" w14:textId="5F826A01" w:rsidR="001846C6" w:rsidRDefault="001846C6" w:rsidP="001846C6">
      <w:r>
        <w:rPr>
          <w:rStyle w:val="CommentReference"/>
        </w:rPr>
        <w:annotationRef/>
      </w:r>
      <w:r>
        <w:rPr>
          <w:sz w:val="20"/>
          <w:szCs w:val="20"/>
        </w:rPr>
        <w:fldChar w:fldCharType="begin"/>
      </w:r>
      <w:r>
        <w:rPr>
          <w:sz w:val="20"/>
          <w:szCs w:val="20"/>
        </w:rPr>
        <w:instrText>HYPERLINK "mailto:mglick@cureexperience.com"</w:instrText>
      </w:r>
      <w:r>
        <w:rPr>
          <w:sz w:val="20"/>
          <w:szCs w:val="20"/>
        </w:rPr>
      </w:r>
      <w:bookmarkStart w:id="1" w:name="_@_94D462FC5867B04B912167BF6FA061F1Z"/>
      <w:r>
        <w:rPr>
          <w:sz w:val="20"/>
          <w:szCs w:val="20"/>
        </w:rPr>
        <w:fldChar w:fldCharType="separate"/>
      </w:r>
      <w:bookmarkEnd w:id="1"/>
      <w:r w:rsidRPr="001846C6">
        <w:rPr>
          <w:rStyle w:val="Mention"/>
          <w:noProof/>
          <w:sz w:val="20"/>
          <w:szCs w:val="20"/>
        </w:rPr>
        <w:t>@Marion Glick (Consultant)</w:t>
      </w:r>
      <w:r>
        <w:rPr>
          <w:sz w:val="20"/>
          <w:szCs w:val="20"/>
        </w:rPr>
        <w:fldChar w:fldCharType="end"/>
      </w:r>
      <w:r>
        <w:rPr>
          <w:sz w:val="20"/>
          <w:szCs w:val="20"/>
        </w:rPr>
        <w:t xml:space="preserve"> good structure. I left some comments to position it more in their terms and streamline it by reducing some of the CII boilerplate that is on our press release. I think they should be 2 pages including the about Cure section.</w:t>
      </w:r>
    </w:p>
    <w:p w14:paraId="61601C96" w14:textId="77777777" w:rsidR="001846C6" w:rsidRDefault="001846C6" w:rsidP="001846C6"/>
    <w:p w14:paraId="4F80970D" w14:textId="77777777" w:rsidR="001846C6" w:rsidRDefault="001846C6" w:rsidP="001846C6">
      <w:r>
        <w:rPr>
          <w:sz w:val="20"/>
          <w:szCs w:val="20"/>
        </w:rPr>
        <w:t>In the email to institutions, we'll have to include the information that goes in their placeholder spots clearly, including the best of recognition (trophy)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80970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B79995" w16cex:dateUtc="2026-04-19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80970D" w16cid:durableId="34B79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53491" w14:textId="77777777" w:rsidR="00BC6AEA" w:rsidRDefault="00BC6AEA" w:rsidP="00AF5D89">
      <w:pPr>
        <w:spacing w:after="0" w:line="240" w:lineRule="auto"/>
      </w:pPr>
      <w:r>
        <w:separator/>
      </w:r>
    </w:p>
  </w:endnote>
  <w:endnote w:type="continuationSeparator" w:id="0">
    <w:p w14:paraId="47C09B75" w14:textId="77777777" w:rsidR="00BC6AEA" w:rsidRDefault="00BC6AEA" w:rsidP="00AF5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DCE01" w14:textId="77777777" w:rsidR="00360A4D" w:rsidRDefault="00360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1521" w14:textId="77777777" w:rsidR="00360A4D" w:rsidRDefault="00360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6D37" w14:textId="77777777" w:rsidR="00360A4D" w:rsidRDefault="00360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0D9A" w14:textId="77777777" w:rsidR="00BC6AEA" w:rsidRDefault="00BC6AEA" w:rsidP="00AF5D89">
      <w:pPr>
        <w:spacing w:after="0" w:line="240" w:lineRule="auto"/>
      </w:pPr>
      <w:r>
        <w:separator/>
      </w:r>
    </w:p>
  </w:footnote>
  <w:footnote w:type="continuationSeparator" w:id="0">
    <w:p w14:paraId="586A20B0" w14:textId="77777777" w:rsidR="00BC6AEA" w:rsidRDefault="00BC6AEA" w:rsidP="00AF5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1096" w14:textId="77777777" w:rsidR="00360A4D" w:rsidRDefault="00360A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E257" w14:textId="77777777" w:rsidR="00AF5D89" w:rsidRDefault="00AF5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3321" w14:textId="77777777" w:rsidR="00360A4D" w:rsidRDefault="00360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9663F"/>
    <w:multiLevelType w:val="hybridMultilevel"/>
    <w:tmpl w:val="7E923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414D4"/>
    <w:multiLevelType w:val="hybridMultilevel"/>
    <w:tmpl w:val="7B7C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941989">
    <w:abstractNumId w:val="1"/>
  </w:num>
  <w:num w:numId="2" w16cid:durableId="114265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Giordano">
    <w15:presenceInfo w15:providerId="AD" w15:userId="S::AGiordano@cureexperience.com::58030966-ba5b-45f9-b2c6-e37d1b388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D89"/>
    <w:rsid w:val="000040A0"/>
    <w:rsid w:val="000149DE"/>
    <w:rsid w:val="00075137"/>
    <w:rsid w:val="00084052"/>
    <w:rsid w:val="000A4C28"/>
    <w:rsid w:val="000B6BC8"/>
    <w:rsid w:val="000C60ED"/>
    <w:rsid w:val="00100249"/>
    <w:rsid w:val="00110F82"/>
    <w:rsid w:val="001178C8"/>
    <w:rsid w:val="001239E7"/>
    <w:rsid w:val="001329E0"/>
    <w:rsid w:val="00147CA0"/>
    <w:rsid w:val="0015043A"/>
    <w:rsid w:val="00151025"/>
    <w:rsid w:val="001562AF"/>
    <w:rsid w:val="001846C6"/>
    <w:rsid w:val="001D790C"/>
    <w:rsid w:val="001E76A6"/>
    <w:rsid w:val="001E7C49"/>
    <w:rsid w:val="0020322F"/>
    <w:rsid w:val="002145A3"/>
    <w:rsid w:val="002311C9"/>
    <w:rsid w:val="0026C460"/>
    <w:rsid w:val="002C63AC"/>
    <w:rsid w:val="002F0C9D"/>
    <w:rsid w:val="00360A4D"/>
    <w:rsid w:val="003751D7"/>
    <w:rsid w:val="003B167B"/>
    <w:rsid w:val="0041C8EE"/>
    <w:rsid w:val="004757FB"/>
    <w:rsid w:val="00486F7B"/>
    <w:rsid w:val="004B004E"/>
    <w:rsid w:val="004E00CA"/>
    <w:rsid w:val="00525F82"/>
    <w:rsid w:val="005729CA"/>
    <w:rsid w:val="00584FA6"/>
    <w:rsid w:val="005D1DBF"/>
    <w:rsid w:val="005F748D"/>
    <w:rsid w:val="006341BD"/>
    <w:rsid w:val="006EDD44"/>
    <w:rsid w:val="006F590E"/>
    <w:rsid w:val="0070F2B2"/>
    <w:rsid w:val="00781B6B"/>
    <w:rsid w:val="00792BC2"/>
    <w:rsid w:val="007D3E1F"/>
    <w:rsid w:val="007E0125"/>
    <w:rsid w:val="007E502F"/>
    <w:rsid w:val="00836AB4"/>
    <w:rsid w:val="00874C40"/>
    <w:rsid w:val="008B5C7C"/>
    <w:rsid w:val="009908F3"/>
    <w:rsid w:val="00A30A3A"/>
    <w:rsid w:val="00A35960"/>
    <w:rsid w:val="00A37B44"/>
    <w:rsid w:val="00A44396"/>
    <w:rsid w:val="00A805FD"/>
    <w:rsid w:val="00A9562F"/>
    <w:rsid w:val="00AB4873"/>
    <w:rsid w:val="00AF33A9"/>
    <w:rsid w:val="00AF5D89"/>
    <w:rsid w:val="00B00703"/>
    <w:rsid w:val="00B034E2"/>
    <w:rsid w:val="00B129DF"/>
    <w:rsid w:val="00B34A58"/>
    <w:rsid w:val="00B54535"/>
    <w:rsid w:val="00B66E7B"/>
    <w:rsid w:val="00B75E68"/>
    <w:rsid w:val="00B90F1A"/>
    <w:rsid w:val="00BA709E"/>
    <w:rsid w:val="00BC6AEA"/>
    <w:rsid w:val="00BE1DCE"/>
    <w:rsid w:val="00BE35E1"/>
    <w:rsid w:val="00BF3A0B"/>
    <w:rsid w:val="00BF6D73"/>
    <w:rsid w:val="00C17E6C"/>
    <w:rsid w:val="00C524A5"/>
    <w:rsid w:val="00C55D5F"/>
    <w:rsid w:val="00C60E4A"/>
    <w:rsid w:val="00C72BD8"/>
    <w:rsid w:val="00C8215F"/>
    <w:rsid w:val="00CF77D7"/>
    <w:rsid w:val="00D20063"/>
    <w:rsid w:val="00D24DAA"/>
    <w:rsid w:val="00D47876"/>
    <w:rsid w:val="00D73A63"/>
    <w:rsid w:val="00D83D44"/>
    <w:rsid w:val="00D91BF2"/>
    <w:rsid w:val="00D94AE9"/>
    <w:rsid w:val="00DB6CD2"/>
    <w:rsid w:val="00DC4770"/>
    <w:rsid w:val="00DF1F53"/>
    <w:rsid w:val="00DF3333"/>
    <w:rsid w:val="00E12E1B"/>
    <w:rsid w:val="00E76268"/>
    <w:rsid w:val="00EA6A9D"/>
    <w:rsid w:val="00EBE9A2"/>
    <w:rsid w:val="00EC3F80"/>
    <w:rsid w:val="00EF1C72"/>
    <w:rsid w:val="00F07058"/>
    <w:rsid w:val="00F13217"/>
    <w:rsid w:val="00F17875"/>
    <w:rsid w:val="00F20EA5"/>
    <w:rsid w:val="00F20F88"/>
    <w:rsid w:val="00F3316A"/>
    <w:rsid w:val="00F927C2"/>
    <w:rsid w:val="00FAD886"/>
    <w:rsid w:val="00FF139E"/>
    <w:rsid w:val="0120A376"/>
    <w:rsid w:val="016F62DE"/>
    <w:rsid w:val="01C6DCD8"/>
    <w:rsid w:val="032E1154"/>
    <w:rsid w:val="0396D45C"/>
    <w:rsid w:val="039B892F"/>
    <w:rsid w:val="03CE07DC"/>
    <w:rsid w:val="03EF3551"/>
    <w:rsid w:val="043A0AC6"/>
    <w:rsid w:val="0471419D"/>
    <w:rsid w:val="048C18FD"/>
    <w:rsid w:val="05379540"/>
    <w:rsid w:val="05457316"/>
    <w:rsid w:val="05855517"/>
    <w:rsid w:val="06C20F46"/>
    <w:rsid w:val="07C5DC7F"/>
    <w:rsid w:val="07C6D346"/>
    <w:rsid w:val="0821C90F"/>
    <w:rsid w:val="087238D2"/>
    <w:rsid w:val="088E4AAE"/>
    <w:rsid w:val="08FCDD5A"/>
    <w:rsid w:val="0902ECFC"/>
    <w:rsid w:val="091A9965"/>
    <w:rsid w:val="099DD35A"/>
    <w:rsid w:val="09D33225"/>
    <w:rsid w:val="0AD17AD1"/>
    <w:rsid w:val="0ADCF4DD"/>
    <w:rsid w:val="0B459F49"/>
    <w:rsid w:val="0B52D8E4"/>
    <w:rsid w:val="0BB2E442"/>
    <w:rsid w:val="0BE83916"/>
    <w:rsid w:val="0C64404B"/>
    <w:rsid w:val="0CAE275C"/>
    <w:rsid w:val="0D1F0025"/>
    <w:rsid w:val="0E0F0EBF"/>
    <w:rsid w:val="0EF8C89C"/>
    <w:rsid w:val="0FDF58A7"/>
    <w:rsid w:val="10AD7CB2"/>
    <w:rsid w:val="10BF3F0F"/>
    <w:rsid w:val="11228B3B"/>
    <w:rsid w:val="1128E493"/>
    <w:rsid w:val="142F6F08"/>
    <w:rsid w:val="153B168E"/>
    <w:rsid w:val="15540562"/>
    <w:rsid w:val="157DE2C7"/>
    <w:rsid w:val="15CDC241"/>
    <w:rsid w:val="15E53A48"/>
    <w:rsid w:val="160ADFA0"/>
    <w:rsid w:val="17E1F995"/>
    <w:rsid w:val="183E2561"/>
    <w:rsid w:val="18A1C071"/>
    <w:rsid w:val="196F36D9"/>
    <w:rsid w:val="19A5D6E9"/>
    <w:rsid w:val="19BC1A82"/>
    <w:rsid w:val="1AA726D5"/>
    <w:rsid w:val="1ADFFBD7"/>
    <w:rsid w:val="1B4F9B45"/>
    <w:rsid w:val="1B6834ED"/>
    <w:rsid w:val="1B98C7B1"/>
    <w:rsid w:val="1BDFD99A"/>
    <w:rsid w:val="1C47560F"/>
    <w:rsid w:val="1C7C1755"/>
    <w:rsid w:val="1CBDA795"/>
    <w:rsid w:val="1CC7CEA5"/>
    <w:rsid w:val="1D9A5E41"/>
    <w:rsid w:val="1DD19FA0"/>
    <w:rsid w:val="1F09DF69"/>
    <w:rsid w:val="1F53B251"/>
    <w:rsid w:val="1FA1F8A4"/>
    <w:rsid w:val="2118B6E3"/>
    <w:rsid w:val="2131D948"/>
    <w:rsid w:val="21E8A455"/>
    <w:rsid w:val="22144614"/>
    <w:rsid w:val="2252DD53"/>
    <w:rsid w:val="22812BE3"/>
    <w:rsid w:val="22D3BAB5"/>
    <w:rsid w:val="2379DDBB"/>
    <w:rsid w:val="23E6DAE6"/>
    <w:rsid w:val="2595C51B"/>
    <w:rsid w:val="25B3641B"/>
    <w:rsid w:val="25D1B66D"/>
    <w:rsid w:val="25FD508A"/>
    <w:rsid w:val="26381FFC"/>
    <w:rsid w:val="27068037"/>
    <w:rsid w:val="272E3F78"/>
    <w:rsid w:val="2747008F"/>
    <w:rsid w:val="275B3BD5"/>
    <w:rsid w:val="27A06DAA"/>
    <w:rsid w:val="27A74243"/>
    <w:rsid w:val="27D507BA"/>
    <w:rsid w:val="283E20C4"/>
    <w:rsid w:val="28BA172D"/>
    <w:rsid w:val="292EE17D"/>
    <w:rsid w:val="2939AAC5"/>
    <w:rsid w:val="29459137"/>
    <w:rsid w:val="2AADCEB5"/>
    <w:rsid w:val="2AAE9FF2"/>
    <w:rsid w:val="2BC878DC"/>
    <w:rsid w:val="2BEAFF86"/>
    <w:rsid w:val="2C53F77C"/>
    <w:rsid w:val="2CD44A53"/>
    <w:rsid w:val="2D401996"/>
    <w:rsid w:val="2D53810E"/>
    <w:rsid w:val="2D731F01"/>
    <w:rsid w:val="2DF07A1E"/>
    <w:rsid w:val="2E5E04E2"/>
    <w:rsid w:val="2E72D308"/>
    <w:rsid w:val="2E730AFE"/>
    <w:rsid w:val="2EB8C7E0"/>
    <w:rsid w:val="2EC2B08B"/>
    <w:rsid w:val="2EDA3714"/>
    <w:rsid w:val="2F1A5FCF"/>
    <w:rsid w:val="2FA07B97"/>
    <w:rsid w:val="3017CBEC"/>
    <w:rsid w:val="30268FEA"/>
    <w:rsid w:val="31B0C4AB"/>
    <w:rsid w:val="32BF033B"/>
    <w:rsid w:val="32C8BD65"/>
    <w:rsid w:val="33930FBE"/>
    <w:rsid w:val="3495F1A5"/>
    <w:rsid w:val="35CB9D5B"/>
    <w:rsid w:val="35F136F1"/>
    <w:rsid w:val="36DAAC6F"/>
    <w:rsid w:val="377BE58B"/>
    <w:rsid w:val="3803F112"/>
    <w:rsid w:val="38E4396F"/>
    <w:rsid w:val="38F814AF"/>
    <w:rsid w:val="3924CA41"/>
    <w:rsid w:val="394E0C3C"/>
    <w:rsid w:val="3ACA3CD0"/>
    <w:rsid w:val="3AE1116E"/>
    <w:rsid w:val="3B48F777"/>
    <w:rsid w:val="3CD05D87"/>
    <w:rsid w:val="3DB9BEFF"/>
    <w:rsid w:val="3E13AFA7"/>
    <w:rsid w:val="3E62CD7C"/>
    <w:rsid w:val="3E8C29C5"/>
    <w:rsid w:val="410E5FC6"/>
    <w:rsid w:val="4137410A"/>
    <w:rsid w:val="448C7815"/>
    <w:rsid w:val="44CA8DC1"/>
    <w:rsid w:val="45939E2F"/>
    <w:rsid w:val="4602277C"/>
    <w:rsid w:val="46D28F09"/>
    <w:rsid w:val="46F0A17A"/>
    <w:rsid w:val="4728F65C"/>
    <w:rsid w:val="4736A4CC"/>
    <w:rsid w:val="47B4A682"/>
    <w:rsid w:val="47B79AE7"/>
    <w:rsid w:val="48069963"/>
    <w:rsid w:val="488C978F"/>
    <w:rsid w:val="4897B898"/>
    <w:rsid w:val="4A11D926"/>
    <w:rsid w:val="4ABA2CA1"/>
    <w:rsid w:val="4B38AD12"/>
    <w:rsid w:val="4BB31496"/>
    <w:rsid w:val="4CABCDC3"/>
    <w:rsid w:val="4D083C5F"/>
    <w:rsid w:val="4D55CB17"/>
    <w:rsid w:val="4D999A81"/>
    <w:rsid w:val="4E9FC992"/>
    <w:rsid w:val="4EC64354"/>
    <w:rsid w:val="4F2ACC2A"/>
    <w:rsid w:val="4F34E070"/>
    <w:rsid w:val="4F5053C9"/>
    <w:rsid w:val="500AC3BB"/>
    <w:rsid w:val="502D09CA"/>
    <w:rsid w:val="50C583A5"/>
    <w:rsid w:val="5156A395"/>
    <w:rsid w:val="517B4D9C"/>
    <w:rsid w:val="52E2C82A"/>
    <w:rsid w:val="530A65CD"/>
    <w:rsid w:val="53140A3C"/>
    <w:rsid w:val="5315533B"/>
    <w:rsid w:val="53F3DCDA"/>
    <w:rsid w:val="550E992D"/>
    <w:rsid w:val="552E38B3"/>
    <w:rsid w:val="55B7E6D7"/>
    <w:rsid w:val="55BD052D"/>
    <w:rsid w:val="55C1F599"/>
    <w:rsid w:val="5603F189"/>
    <w:rsid w:val="561ED276"/>
    <w:rsid w:val="5622F56D"/>
    <w:rsid w:val="562EB0E1"/>
    <w:rsid w:val="56872060"/>
    <w:rsid w:val="568FF5C8"/>
    <w:rsid w:val="569EC55B"/>
    <w:rsid w:val="57103DBB"/>
    <w:rsid w:val="58915D3A"/>
    <w:rsid w:val="58BC010F"/>
    <w:rsid w:val="5950428C"/>
    <w:rsid w:val="5972003E"/>
    <w:rsid w:val="5A4A740A"/>
    <w:rsid w:val="5AE64FB3"/>
    <w:rsid w:val="5B54BDF1"/>
    <w:rsid w:val="5B5F138A"/>
    <w:rsid w:val="5B9CDF66"/>
    <w:rsid w:val="5C22EC27"/>
    <w:rsid w:val="5D090EF9"/>
    <w:rsid w:val="5D5167AA"/>
    <w:rsid w:val="5E4468A5"/>
    <w:rsid w:val="5EE3CE34"/>
    <w:rsid w:val="5FDBFA0C"/>
    <w:rsid w:val="60474BF2"/>
    <w:rsid w:val="60EFEDC7"/>
    <w:rsid w:val="61336A90"/>
    <w:rsid w:val="6202BE02"/>
    <w:rsid w:val="62C83817"/>
    <w:rsid w:val="63756559"/>
    <w:rsid w:val="64212340"/>
    <w:rsid w:val="64C6F120"/>
    <w:rsid w:val="65DB7F62"/>
    <w:rsid w:val="66012719"/>
    <w:rsid w:val="6605BD2A"/>
    <w:rsid w:val="661D0A28"/>
    <w:rsid w:val="664B7B33"/>
    <w:rsid w:val="671E3FD9"/>
    <w:rsid w:val="673F486C"/>
    <w:rsid w:val="6777383C"/>
    <w:rsid w:val="6800B9A8"/>
    <w:rsid w:val="68186FDE"/>
    <w:rsid w:val="68339D29"/>
    <w:rsid w:val="687B2816"/>
    <w:rsid w:val="68C62063"/>
    <w:rsid w:val="696225B0"/>
    <w:rsid w:val="6969DF67"/>
    <w:rsid w:val="69834731"/>
    <w:rsid w:val="69D32563"/>
    <w:rsid w:val="69DA3A75"/>
    <w:rsid w:val="6A59B733"/>
    <w:rsid w:val="6A86B610"/>
    <w:rsid w:val="6AC8371C"/>
    <w:rsid w:val="6B043765"/>
    <w:rsid w:val="6B0808E6"/>
    <w:rsid w:val="6BFB2D63"/>
    <w:rsid w:val="6C1B324D"/>
    <w:rsid w:val="6CBB16AD"/>
    <w:rsid w:val="6D479105"/>
    <w:rsid w:val="6D4B0FC6"/>
    <w:rsid w:val="6D4D3127"/>
    <w:rsid w:val="6DFE2FD6"/>
    <w:rsid w:val="6E38A99D"/>
    <w:rsid w:val="6EE6E7DD"/>
    <w:rsid w:val="6F42FD0B"/>
    <w:rsid w:val="6F85BB55"/>
    <w:rsid w:val="6F996CA0"/>
    <w:rsid w:val="7089B8BA"/>
    <w:rsid w:val="70AE5CA4"/>
    <w:rsid w:val="70F08669"/>
    <w:rsid w:val="7126834F"/>
    <w:rsid w:val="715B727A"/>
    <w:rsid w:val="7193EC43"/>
    <w:rsid w:val="719BDAF3"/>
    <w:rsid w:val="71B1E236"/>
    <w:rsid w:val="726F1802"/>
    <w:rsid w:val="72814042"/>
    <w:rsid w:val="732EFA1D"/>
    <w:rsid w:val="73707F79"/>
    <w:rsid w:val="73A919CC"/>
    <w:rsid w:val="7442787F"/>
    <w:rsid w:val="74E8DBE1"/>
    <w:rsid w:val="76272524"/>
    <w:rsid w:val="76407197"/>
    <w:rsid w:val="767840D3"/>
    <w:rsid w:val="77074E63"/>
    <w:rsid w:val="771F7E91"/>
    <w:rsid w:val="772EA1A9"/>
    <w:rsid w:val="774843A6"/>
    <w:rsid w:val="79E4CE07"/>
    <w:rsid w:val="7A174944"/>
    <w:rsid w:val="7A7529B6"/>
    <w:rsid w:val="7ACEBFD8"/>
    <w:rsid w:val="7AD5CBA0"/>
    <w:rsid w:val="7AEAFBF3"/>
    <w:rsid w:val="7AFC4D1F"/>
    <w:rsid w:val="7BA55142"/>
    <w:rsid w:val="7CE0D898"/>
    <w:rsid w:val="7D2FB6DF"/>
    <w:rsid w:val="7D84064D"/>
    <w:rsid w:val="7EBA7621"/>
    <w:rsid w:val="7F8EA802"/>
    <w:rsid w:val="7FF06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36C68D"/>
  <w15:chartTrackingRefBased/>
  <w15:docId w15:val="{D9FA1834-9B40-4CC7-B6FA-B072D090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5D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5D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5D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5D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5D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5D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5D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5D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5D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D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5D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5D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5D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5D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5D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5D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5D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5D89"/>
    <w:rPr>
      <w:rFonts w:eastAsiaTheme="majorEastAsia" w:cstheme="majorBidi"/>
      <w:color w:val="272727" w:themeColor="text1" w:themeTint="D8"/>
    </w:rPr>
  </w:style>
  <w:style w:type="paragraph" w:styleId="Title">
    <w:name w:val="Title"/>
    <w:basedOn w:val="Normal"/>
    <w:next w:val="Normal"/>
    <w:link w:val="TitleChar"/>
    <w:uiPriority w:val="10"/>
    <w:qFormat/>
    <w:rsid w:val="00AF5D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5D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5D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5D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5D89"/>
    <w:pPr>
      <w:spacing w:before="160"/>
      <w:jc w:val="center"/>
    </w:pPr>
    <w:rPr>
      <w:i/>
      <w:iCs/>
      <w:color w:val="404040" w:themeColor="text1" w:themeTint="BF"/>
    </w:rPr>
  </w:style>
  <w:style w:type="character" w:customStyle="1" w:styleId="QuoteChar">
    <w:name w:val="Quote Char"/>
    <w:basedOn w:val="DefaultParagraphFont"/>
    <w:link w:val="Quote"/>
    <w:uiPriority w:val="29"/>
    <w:rsid w:val="00AF5D89"/>
    <w:rPr>
      <w:i/>
      <w:iCs/>
      <w:color w:val="404040" w:themeColor="text1" w:themeTint="BF"/>
    </w:rPr>
  </w:style>
  <w:style w:type="paragraph" w:styleId="ListParagraph">
    <w:name w:val="List Paragraph"/>
    <w:basedOn w:val="Normal"/>
    <w:uiPriority w:val="34"/>
    <w:qFormat/>
    <w:rsid w:val="00AF5D89"/>
    <w:pPr>
      <w:ind w:left="720"/>
      <w:contextualSpacing/>
    </w:pPr>
  </w:style>
  <w:style w:type="character" w:styleId="IntenseEmphasis">
    <w:name w:val="Intense Emphasis"/>
    <w:basedOn w:val="DefaultParagraphFont"/>
    <w:uiPriority w:val="21"/>
    <w:qFormat/>
    <w:rsid w:val="00AF5D89"/>
    <w:rPr>
      <w:i/>
      <w:iCs/>
      <w:color w:val="0F4761" w:themeColor="accent1" w:themeShade="BF"/>
    </w:rPr>
  </w:style>
  <w:style w:type="paragraph" w:styleId="IntenseQuote">
    <w:name w:val="Intense Quote"/>
    <w:basedOn w:val="Normal"/>
    <w:next w:val="Normal"/>
    <w:link w:val="IntenseQuoteChar"/>
    <w:uiPriority w:val="30"/>
    <w:qFormat/>
    <w:rsid w:val="00AF5D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5D89"/>
    <w:rPr>
      <w:i/>
      <w:iCs/>
      <w:color w:val="0F4761" w:themeColor="accent1" w:themeShade="BF"/>
    </w:rPr>
  </w:style>
  <w:style w:type="character" w:styleId="IntenseReference">
    <w:name w:val="Intense Reference"/>
    <w:basedOn w:val="DefaultParagraphFont"/>
    <w:uiPriority w:val="32"/>
    <w:qFormat/>
    <w:rsid w:val="00AF5D89"/>
    <w:rPr>
      <w:b/>
      <w:bCs/>
      <w:smallCaps/>
      <w:color w:val="0F4761" w:themeColor="accent1" w:themeShade="BF"/>
      <w:spacing w:val="5"/>
    </w:rPr>
  </w:style>
  <w:style w:type="paragraph" w:styleId="Header">
    <w:name w:val="header"/>
    <w:basedOn w:val="Normal"/>
    <w:link w:val="HeaderChar"/>
    <w:uiPriority w:val="99"/>
    <w:unhideWhenUsed/>
    <w:rsid w:val="00AF5D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5D89"/>
  </w:style>
  <w:style w:type="paragraph" w:styleId="Footer">
    <w:name w:val="footer"/>
    <w:basedOn w:val="Normal"/>
    <w:link w:val="FooterChar"/>
    <w:uiPriority w:val="99"/>
    <w:unhideWhenUsed/>
    <w:rsid w:val="00AF5D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5D89"/>
  </w:style>
  <w:style w:type="character" w:styleId="CommentReference">
    <w:name w:val="annotation reference"/>
    <w:basedOn w:val="DefaultParagraphFont"/>
    <w:uiPriority w:val="99"/>
    <w:semiHidden/>
    <w:unhideWhenUsed/>
    <w:rsid w:val="006F590E"/>
    <w:rPr>
      <w:sz w:val="16"/>
      <w:szCs w:val="16"/>
    </w:rPr>
  </w:style>
  <w:style w:type="paragraph" w:styleId="CommentText">
    <w:name w:val="annotation text"/>
    <w:basedOn w:val="Normal"/>
    <w:link w:val="CommentTextChar"/>
    <w:uiPriority w:val="99"/>
    <w:semiHidden/>
    <w:unhideWhenUsed/>
    <w:rsid w:val="00B129DF"/>
    <w:pPr>
      <w:spacing w:line="240" w:lineRule="auto"/>
    </w:pPr>
    <w:rPr>
      <w:sz w:val="20"/>
      <w:szCs w:val="20"/>
    </w:rPr>
  </w:style>
  <w:style w:type="character" w:customStyle="1" w:styleId="CommentTextChar">
    <w:name w:val="Comment Text Char"/>
    <w:basedOn w:val="DefaultParagraphFont"/>
    <w:link w:val="CommentText"/>
    <w:uiPriority w:val="99"/>
    <w:semiHidden/>
    <w:rsid w:val="00B129DF"/>
    <w:rPr>
      <w:sz w:val="20"/>
      <w:szCs w:val="20"/>
    </w:rPr>
  </w:style>
  <w:style w:type="paragraph" w:styleId="CommentSubject">
    <w:name w:val="annotation subject"/>
    <w:basedOn w:val="CommentText"/>
    <w:next w:val="CommentText"/>
    <w:link w:val="CommentSubjectChar"/>
    <w:uiPriority w:val="99"/>
    <w:semiHidden/>
    <w:unhideWhenUsed/>
    <w:rsid w:val="00B129DF"/>
    <w:rPr>
      <w:b/>
      <w:bCs/>
    </w:rPr>
  </w:style>
  <w:style w:type="character" w:customStyle="1" w:styleId="CommentSubjectChar">
    <w:name w:val="Comment Subject Char"/>
    <w:basedOn w:val="CommentTextChar"/>
    <w:link w:val="CommentSubject"/>
    <w:uiPriority w:val="99"/>
    <w:semiHidden/>
    <w:rsid w:val="00B129DF"/>
    <w:rPr>
      <w:b/>
      <w:bCs/>
      <w:sz w:val="20"/>
      <w:szCs w:val="20"/>
    </w:rPr>
  </w:style>
  <w:style w:type="character" w:styleId="Hyperlink">
    <w:name w:val="Hyperlink"/>
    <w:basedOn w:val="DefaultParagraphFont"/>
    <w:uiPriority w:val="99"/>
    <w:unhideWhenUsed/>
    <w:rsid w:val="552E38B3"/>
    <w:rPr>
      <w:color w:val="467886"/>
      <w:u w:val="single"/>
    </w:rPr>
  </w:style>
  <w:style w:type="paragraph" w:styleId="NoSpacing">
    <w:name w:val="No Spacing"/>
    <w:uiPriority w:val="1"/>
    <w:qFormat/>
    <w:rsid w:val="552E38B3"/>
    <w:pPr>
      <w:spacing w:after="0"/>
    </w:pPr>
  </w:style>
  <w:style w:type="paragraph" w:styleId="Revision">
    <w:name w:val="Revision"/>
    <w:hidden/>
    <w:uiPriority w:val="99"/>
    <w:semiHidden/>
    <w:rsid w:val="00AB4873"/>
    <w:pPr>
      <w:spacing w:after="0" w:line="240" w:lineRule="auto"/>
    </w:pPr>
  </w:style>
  <w:style w:type="character" w:styleId="Mention">
    <w:name w:val="Mention"/>
    <w:basedOn w:val="DefaultParagraphFont"/>
    <w:uiPriority w:val="99"/>
    <w:unhideWhenUsed/>
    <w:rsid w:val="001846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info@wewillcure.com" TargetMode="External"/><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5200A8CE-D347-9842-912D-D4EACEB8785C}">
    <t:Anchor>
      <t:Comment id="884447637"/>
    </t:Anchor>
    <t:History>
      <t:Event id="{6E23E33F-97AD-5E42-8C32-D0F4F10D1B6D}" time="2026-04-19T21:51:56.87Z">
        <t:Attribution userId="S::AGiordano@cureexperience.com::58030966-ba5b-45f9-b2c6-e37d1b38804d" userProvider="AD" userName="Anthony Giordano"/>
        <t:Anchor>
          <t:Comment id="884447637"/>
        </t:Anchor>
        <t:Create/>
      </t:Event>
      <t:Event id="{1F4009EB-1E9E-6F48-BDD2-620961789EBB}" time="2026-04-19T21:51:56.87Z">
        <t:Attribution userId="S::AGiordano@cureexperience.com::58030966-ba5b-45f9-b2c6-e37d1b38804d" userProvider="AD" userName="Anthony Giordano"/>
        <t:Anchor>
          <t:Comment id="884447637"/>
        </t:Anchor>
        <t:Assign userId="S::mglick@cureexperience.com::d502b2ca-a42d-41bb-885f-48aaeb04cd58" userProvider="AD" userName="Marion Glick (Consultant)"/>
      </t:Event>
      <t:Event id="{5CC05058-C5DD-994C-901D-CD9EBD715E92}" time="2026-04-19T21:51:56.87Z">
        <t:Attribution userId="S::AGiordano@cureexperience.com::58030966-ba5b-45f9-b2c6-e37d1b38804d" userProvider="AD" userName="Anthony Giordano"/>
        <t:Anchor>
          <t:Comment id="884447637"/>
        </t:Anchor>
        <t:SetTitle title="@Marion Glick (Consultant) good structure. I left some comments to position it more in their terms and streamline it by reducing some of the CII boilerplate that is on our press release. I think they should be 2 pages including the about Cure section. In…"/>
      </t:Event>
      <t:Event id="{D9F33FF8-61F3-1A46-BCB7-D6AEADA594E0}" time="2026-04-25T16:55:42.729Z">
        <t:Attribution userId="S::AGiordano@cureexperience.com::58030966-ba5b-45f9-b2c6-e37d1b38804d" userProvider="AD" userName="Anthony Giordan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E5CE91AC57854EB2503C922BC3DF4C" ma:contentTypeVersion="22" ma:contentTypeDescription="Create a new document." ma:contentTypeScope="" ma:versionID="748ba2d77f01b8711ba0cb737150b6eb">
  <xsd:schema xmlns:xsd="http://www.w3.org/2001/XMLSchema" xmlns:xs="http://www.w3.org/2001/XMLSchema" xmlns:p="http://schemas.microsoft.com/office/2006/metadata/properties" xmlns:ns1="http://schemas.microsoft.com/sharepoint/v3" xmlns:ns2="08c336ce-85e5-4319-b0b8-097a089abb9c" xmlns:ns3="b07f5083-8a55-47eb-a35f-940411934115" targetNamespace="http://schemas.microsoft.com/office/2006/metadata/properties" ma:root="true" ma:fieldsID="15be6e487c2863bc295e0f1098042acf" ns1:_="" ns2:_="" ns3:_="">
    <xsd:import namespace="http://schemas.microsoft.com/sharepoint/v3"/>
    <xsd:import namespace="08c336ce-85e5-4319-b0b8-097a089abb9c"/>
    <xsd:import namespace="b07f5083-8a55-47eb-a35f-9404119341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ObjectDetectorVersions" minOccurs="0"/>
                <xsd:element ref="ns2:MediaServiceSearchProperties" minOccurs="0"/>
                <xsd:element ref="ns2:Notes" minOccurs="0"/>
                <xsd:element ref="ns2:MediaServiceBillingMetadata" minOccurs="0"/>
                <xsd:element ref="ns1:_ip_UnifiedCompliancePolicyProperties" minOccurs="0"/>
                <xsd:element ref="ns1:_ip_UnifiedCompliancePolicyUIAction" minOccurs="0"/>
                <xsd:element ref="ns2:Rachels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c336ce-85e5-4319-b0b8-097a089ab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3ba0554-7409-401b-8eb9-a51fff3cd0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Notes" ma:index="25" nillable="true" ma:displayName="Notes" ma:description="Notes for team about document" ma:format="Dropdown" ma:internalName="Notes">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RachelsNote" ma:index="29" nillable="true" ma:displayName="Rachel's Note" ma:format="Dropdown" ma:internalName="Rachels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7f5083-8a55-47eb-a35f-9404119341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0ce128f-e893-4bfd-977c-17e64c220145}" ma:internalName="TaxCatchAll" ma:showField="CatchAllData" ma:web="b07f5083-8a55-47eb-a35f-9404119341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otes xmlns="08c336ce-85e5-4319-b0b8-097a089abb9c" xsi:nil="true"/>
    <RachelsNote xmlns="08c336ce-85e5-4319-b0b8-097a089abb9c" xsi:nil="true"/>
    <_ip_UnifiedCompliancePolicyProperties xmlns="http://schemas.microsoft.com/sharepoint/v3" xsi:nil="true"/>
    <lcf76f155ced4ddcb4097134ff3c332f xmlns="08c336ce-85e5-4319-b0b8-097a089abb9c">
      <Terms xmlns="http://schemas.microsoft.com/office/infopath/2007/PartnerControls"/>
    </lcf76f155ced4ddcb4097134ff3c332f>
    <TaxCatchAll xmlns="b07f5083-8a55-47eb-a35f-940411934115" xsi:nil="true"/>
  </documentManagement>
</p:properties>
</file>

<file path=customXml/itemProps1.xml><?xml version="1.0" encoding="utf-8"?>
<ds:datastoreItem xmlns:ds="http://schemas.openxmlformats.org/officeDocument/2006/customXml" ds:itemID="{69AC7B6A-2E10-480C-AC67-9B943CE460A0}">
  <ds:schemaRefs>
    <ds:schemaRef ds:uri="http://schemas.microsoft.com/sharepoint/v3/contenttype/forms"/>
  </ds:schemaRefs>
</ds:datastoreItem>
</file>

<file path=customXml/itemProps2.xml><?xml version="1.0" encoding="utf-8"?>
<ds:datastoreItem xmlns:ds="http://schemas.openxmlformats.org/officeDocument/2006/customXml" ds:itemID="{ACFB67B3-0FE2-4DD3-8B43-A670E3FEE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c336ce-85e5-4319-b0b8-097a089abb9c"/>
    <ds:schemaRef ds:uri="b07f5083-8a55-47eb-a35f-9404119341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36FF5-6A9B-4624-BE0F-41DD9A7B2BE2}">
  <ds:schemaRefs>
    <ds:schemaRef ds:uri="http://schemas.microsoft.com/office/2006/metadata/properties"/>
    <ds:schemaRef ds:uri="http://schemas.microsoft.com/office/infopath/2007/PartnerControls"/>
    <ds:schemaRef ds:uri="http://schemas.microsoft.com/sharepoint/v3"/>
    <ds:schemaRef ds:uri="08c336ce-85e5-4319-b0b8-097a089abb9c"/>
    <ds:schemaRef ds:uri="b07f5083-8a55-47eb-a35f-940411934115"/>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614</Words>
  <Characters>3501</Characters>
  <Application>Microsoft Office Word</Application>
  <DocSecurity>4</DocSecurity>
  <Lines>29</Lines>
  <Paragraphs>8</Paragraphs>
  <ScaleCrop>false</ScaleCrop>
  <Company>Marion</Company>
  <LinksUpToDate>false</LinksUpToDate>
  <CharactersWithSpaces>4107</CharactersWithSpaces>
  <SharedDoc>false</SharedDoc>
  <HLinks>
    <vt:vector size="12" baseType="variant">
      <vt:variant>
        <vt:i4>5439607</vt:i4>
      </vt:variant>
      <vt:variant>
        <vt:i4>0</vt:i4>
      </vt:variant>
      <vt:variant>
        <vt:i4>0</vt:i4>
      </vt:variant>
      <vt:variant>
        <vt:i4>5</vt:i4>
      </vt:variant>
      <vt:variant>
        <vt:lpwstr>mailto:info@wewillcure.com</vt:lpwstr>
      </vt:variant>
      <vt:variant>
        <vt:lpwstr/>
      </vt:variant>
      <vt:variant>
        <vt:i4>2162718</vt:i4>
      </vt:variant>
      <vt:variant>
        <vt:i4>0</vt:i4>
      </vt:variant>
      <vt:variant>
        <vt:i4>0</vt:i4>
      </vt:variant>
      <vt:variant>
        <vt:i4>5</vt:i4>
      </vt:variant>
      <vt:variant>
        <vt:lpwstr>mailto:mglick@cureexperience.com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dc:creator>
  <cp:keywords/>
  <dc:description/>
  <cp:lastModifiedBy>Anthony Giordano</cp:lastModifiedBy>
  <cp:revision>50</cp:revision>
  <dcterms:created xsi:type="dcterms:W3CDTF">2026-03-28T21:05:00Z</dcterms:created>
  <dcterms:modified xsi:type="dcterms:W3CDTF">2026-04-28T17:21:00Z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0x010100FDE5CE91AC57854EB2503C922BC3DF4C</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2026-04-19T21:37:40Z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d1db2fcb-6845-4ad5-9071-ad028c478597</vt:lpwstr>
  </property>
  <property fmtid="{D5CDD505-2E9C-101B-9397-08002B2CF9AE}" pid="9" name="MSIP_Label_defa4170-0d19-0005-0004-bc88714345d2_ActionId">
    <vt:lpwstr>19b09a0c-efd6-4827-bc6b-8e2443cd4afe</vt:lpwstr>
  </property>
  <property fmtid="{D5CDD505-2E9C-101B-9397-08002B2CF9AE}" pid="10" name="MSIP_Label_defa4170-0d19-0005-0004-bc88714345d2_ContentBits">
    <vt:lpwstr>0</vt:lpwstr>
  </property>
  <property fmtid="{D5CDD505-2E9C-101B-9397-08002B2CF9AE}" pid="11" name="MSIP_Label_defa4170-0d19-0005-0004-bc88714345d2_Tag">
    <vt:lpwstr>50, 3, 0, 1</vt:lpwstr>
  </property>
</Properties>
</file>